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2C" w:rsidRDefault="00BC192C" w:rsidP="00BC192C">
      <w:pPr>
        <w:pStyle w:val="a3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666750" cy="914400"/>
            <wp:effectExtent l="19050" t="0" r="0" b="0"/>
            <wp:docPr id="1" name="Рисунок 1" descr="C:\Users\masha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2C" w:rsidRDefault="00BC192C" w:rsidP="00BC192C">
      <w:pPr>
        <w:pStyle w:val="2"/>
        <w:spacing w:after="0" w:afterAutospacing="0"/>
        <w:jc w:val="center"/>
        <w:rPr>
          <w:rFonts w:eastAsia="Times New Roman"/>
        </w:rPr>
      </w:pPr>
      <w:r>
        <w:rPr>
          <w:rFonts w:eastAsia="Times New Roman"/>
        </w:rPr>
        <w:t>ЗАКОН УКРАЇНИ</w:t>
      </w:r>
    </w:p>
    <w:p w:rsidR="00BC192C" w:rsidRDefault="00BC192C" w:rsidP="00BC192C">
      <w:pPr>
        <w:pStyle w:val="2"/>
        <w:spacing w:after="0" w:afterAutospacing="0"/>
        <w:jc w:val="center"/>
        <w:rPr>
          <w:rFonts w:eastAsia="Times New Roman"/>
        </w:rPr>
      </w:pPr>
      <w:r>
        <w:rPr>
          <w:rFonts w:eastAsia="Times New Roman"/>
        </w:rPr>
        <w:t xml:space="preserve">Про </w:t>
      </w:r>
      <w:proofErr w:type="spellStart"/>
      <w:r>
        <w:rPr>
          <w:rFonts w:eastAsia="Times New Roman"/>
        </w:rPr>
        <w:t>забезпечення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комерційного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обл</w:t>
      </w:r>
      <w:proofErr w:type="gramEnd"/>
      <w:r>
        <w:rPr>
          <w:rFonts w:eastAsia="Times New Roman"/>
        </w:rPr>
        <w:t>іку</w:t>
      </w:r>
      <w:proofErr w:type="spellEnd"/>
      <w:r>
        <w:rPr>
          <w:rFonts w:eastAsia="Times New Roman"/>
        </w:rPr>
        <w:t xml:space="preserve"> природного газу</w:t>
      </w:r>
    </w:p>
    <w:p w:rsidR="00BC192C" w:rsidRDefault="00BC192C" w:rsidP="00BC192C">
      <w:pPr>
        <w:pStyle w:val="a3"/>
        <w:spacing w:after="0" w:afterAutospacing="0"/>
        <w:jc w:val="center"/>
      </w:pPr>
      <w:proofErr w:type="spellStart"/>
      <w:r>
        <w:t>Із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доповненнями</w:t>
      </w:r>
      <w:proofErr w:type="spellEnd"/>
      <w:r>
        <w:t xml:space="preserve">, </w:t>
      </w:r>
      <w:proofErr w:type="spellStart"/>
      <w:r>
        <w:t>внесеними</w:t>
      </w:r>
      <w:proofErr w:type="spellEnd"/>
      <w:r>
        <w:br/>
        <w:t xml:space="preserve"> Законом </w:t>
      </w:r>
      <w:proofErr w:type="spellStart"/>
      <w:r>
        <w:t>України</w:t>
      </w:r>
      <w:proofErr w:type="spellEnd"/>
      <w:r>
        <w:br/>
        <w:t> </w:t>
      </w:r>
      <w:proofErr w:type="spellStart"/>
      <w:r>
        <w:t>від</w:t>
      </w:r>
      <w:proofErr w:type="spellEnd"/>
      <w:r>
        <w:t xml:space="preserve"> 9 </w:t>
      </w:r>
      <w:proofErr w:type="spellStart"/>
      <w:r>
        <w:t>квітня</w:t>
      </w:r>
      <w:proofErr w:type="spellEnd"/>
      <w:r>
        <w:t xml:space="preserve"> 2015 року N 329-VIII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Цей Закон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правові</w:t>
      </w:r>
      <w:proofErr w:type="spellEnd"/>
      <w:r>
        <w:t xml:space="preserve">, </w:t>
      </w:r>
      <w:proofErr w:type="spellStart"/>
      <w:r>
        <w:t>економічні</w:t>
      </w:r>
      <w:proofErr w:type="spellEnd"/>
      <w:r>
        <w:t xml:space="preserve"> та </w:t>
      </w:r>
      <w:proofErr w:type="spellStart"/>
      <w:r>
        <w:t>організаційні</w:t>
      </w:r>
      <w:proofErr w:type="spellEnd"/>
      <w:r>
        <w:t xml:space="preserve"> засади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вузлами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природного газу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(</w:t>
      </w:r>
      <w:proofErr w:type="spellStart"/>
      <w:r>
        <w:t>приладового</w:t>
      </w:r>
      <w:proofErr w:type="spellEnd"/>
      <w:r>
        <w:t xml:space="preserve">) </w:t>
      </w:r>
      <w:proofErr w:type="spellStart"/>
      <w:r>
        <w:t>обліку</w:t>
      </w:r>
      <w:proofErr w:type="spellEnd"/>
      <w:r>
        <w:t xml:space="preserve"> природного газу та </w:t>
      </w: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імпортованого</w:t>
      </w:r>
      <w:proofErr w:type="spellEnd"/>
      <w:r>
        <w:t xml:space="preserve"> природного газу </w:t>
      </w:r>
      <w:proofErr w:type="spellStart"/>
      <w:r>
        <w:t>і</w:t>
      </w:r>
      <w:proofErr w:type="spellEnd"/>
      <w:r>
        <w:t xml:space="preserve"> природного газу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видобутку</w:t>
      </w:r>
      <w:proofErr w:type="spellEnd"/>
      <w:r>
        <w:t>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Правовою основою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(</w:t>
      </w:r>
      <w:proofErr w:type="spellStart"/>
      <w:r>
        <w:t>приладового</w:t>
      </w:r>
      <w:proofErr w:type="spellEnd"/>
      <w:r>
        <w:t xml:space="preserve">)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природного газу </w:t>
      </w:r>
      <w:proofErr w:type="spellStart"/>
      <w:r>
        <w:t>є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Закон, </w:t>
      </w:r>
      <w:proofErr w:type="spellStart"/>
      <w:r>
        <w:rPr>
          <w:color w:val="0000FF"/>
        </w:rPr>
        <w:t>закони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України</w:t>
      </w:r>
      <w:proofErr w:type="spellEnd"/>
      <w:r>
        <w:rPr>
          <w:color w:val="0000FF"/>
        </w:rPr>
        <w:t xml:space="preserve"> "Про засади </w:t>
      </w:r>
      <w:proofErr w:type="spellStart"/>
      <w:r>
        <w:rPr>
          <w:color w:val="0000FF"/>
        </w:rPr>
        <w:t>функціонування</w:t>
      </w:r>
      <w:proofErr w:type="spellEnd"/>
      <w:r>
        <w:rPr>
          <w:color w:val="0000FF"/>
        </w:rPr>
        <w:t xml:space="preserve"> ринку природного газу"</w:t>
      </w:r>
      <w:r>
        <w:t xml:space="preserve">, </w:t>
      </w:r>
      <w:r>
        <w:rPr>
          <w:color w:val="0000FF"/>
        </w:rPr>
        <w:t xml:space="preserve">"Про </w:t>
      </w:r>
      <w:proofErr w:type="spellStart"/>
      <w:r>
        <w:rPr>
          <w:color w:val="0000FF"/>
        </w:rPr>
        <w:t>метрологію</w:t>
      </w:r>
      <w:proofErr w:type="spellEnd"/>
      <w:r>
        <w:rPr>
          <w:color w:val="0000FF"/>
        </w:rPr>
        <w:t xml:space="preserve"> та </w:t>
      </w:r>
      <w:proofErr w:type="spellStart"/>
      <w:r>
        <w:rPr>
          <w:color w:val="0000FF"/>
        </w:rPr>
        <w:t>метрологічну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діяльність</w:t>
      </w:r>
      <w:proofErr w:type="spellEnd"/>
      <w:r>
        <w:rPr>
          <w:color w:val="0000FF"/>
        </w:rPr>
        <w:t>"</w:t>
      </w:r>
      <w:r>
        <w:t xml:space="preserve">, </w:t>
      </w:r>
      <w:r>
        <w:rPr>
          <w:color w:val="0000FF"/>
        </w:rPr>
        <w:t xml:space="preserve">"Про </w:t>
      </w:r>
      <w:proofErr w:type="spellStart"/>
      <w:r>
        <w:rPr>
          <w:color w:val="0000FF"/>
        </w:rPr>
        <w:t>стандартизацію</w:t>
      </w:r>
      <w:proofErr w:type="spellEnd"/>
      <w:r>
        <w:rPr>
          <w:color w:val="0000FF"/>
        </w:rPr>
        <w:t>"</w:t>
      </w:r>
      <w:r>
        <w:t xml:space="preserve">, </w:t>
      </w:r>
      <w:r>
        <w:rPr>
          <w:color w:val="0000FF"/>
        </w:rPr>
        <w:t xml:space="preserve">"Про </w:t>
      </w:r>
      <w:proofErr w:type="spellStart"/>
      <w:r>
        <w:rPr>
          <w:color w:val="0000FF"/>
        </w:rPr>
        <w:t>стандарти</w:t>
      </w:r>
      <w:proofErr w:type="spellEnd"/>
      <w:r>
        <w:rPr>
          <w:color w:val="0000FF"/>
        </w:rPr>
        <w:t xml:space="preserve">, </w:t>
      </w:r>
      <w:proofErr w:type="spellStart"/>
      <w:r>
        <w:rPr>
          <w:color w:val="0000FF"/>
        </w:rPr>
        <w:t>технічні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регламенти</w:t>
      </w:r>
      <w:proofErr w:type="spellEnd"/>
      <w:r>
        <w:rPr>
          <w:color w:val="0000FF"/>
        </w:rPr>
        <w:t xml:space="preserve"> та </w:t>
      </w:r>
      <w:proofErr w:type="spellStart"/>
      <w:r>
        <w:rPr>
          <w:color w:val="0000FF"/>
        </w:rPr>
        <w:t>процедури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оцінки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відповідності</w:t>
      </w:r>
      <w:proofErr w:type="spellEnd"/>
      <w:r>
        <w:rPr>
          <w:color w:val="0000FF"/>
        </w:rPr>
        <w:t>"</w:t>
      </w:r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нормативно-правові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>.</w:t>
      </w:r>
    </w:p>
    <w:p w:rsidR="00BC192C" w:rsidRDefault="00BC192C" w:rsidP="00BC192C">
      <w:pPr>
        <w:pStyle w:val="3"/>
        <w:spacing w:after="0" w:afterAutospacing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Стаття</w:t>
      </w:r>
      <w:proofErr w:type="spellEnd"/>
      <w:r>
        <w:rPr>
          <w:rFonts w:eastAsia="Times New Roman"/>
        </w:rPr>
        <w:t xml:space="preserve"> 1. </w:t>
      </w:r>
      <w:proofErr w:type="spellStart"/>
      <w:r>
        <w:rPr>
          <w:rFonts w:eastAsia="Times New Roman"/>
        </w:rPr>
        <w:t>Визначення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термі</w:t>
      </w:r>
      <w:proofErr w:type="gramStart"/>
      <w:r>
        <w:rPr>
          <w:rFonts w:eastAsia="Times New Roman"/>
        </w:rPr>
        <w:t>н</w:t>
      </w:r>
      <w:proofErr w:type="gramEnd"/>
      <w:r>
        <w:rPr>
          <w:rFonts w:eastAsia="Times New Roman"/>
        </w:rPr>
        <w:t>ів</w:t>
      </w:r>
      <w:proofErr w:type="spellEnd"/>
    </w:p>
    <w:p w:rsidR="00BC192C" w:rsidRDefault="00BC192C" w:rsidP="00BC192C">
      <w:pPr>
        <w:pStyle w:val="a3"/>
        <w:spacing w:after="0" w:afterAutospacing="0"/>
        <w:jc w:val="both"/>
      </w:pPr>
      <w:r>
        <w:t xml:space="preserve">1.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Законі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вживаються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такому </w:t>
      </w:r>
      <w:proofErr w:type="spellStart"/>
      <w:r>
        <w:t>значенні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1) </w:t>
      </w:r>
      <w:proofErr w:type="spellStart"/>
      <w:r>
        <w:t>вузол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природного газу -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вимірювальної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та </w:t>
      </w:r>
      <w:proofErr w:type="spellStart"/>
      <w:r>
        <w:t>допоміжних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призначених</w:t>
      </w:r>
      <w:proofErr w:type="spellEnd"/>
      <w:r>
        <w:t xml:space="preserve"> для </w:t>
      </w:r>
      <w:proofErr w:type="spellStart"/>
      <w:r>
        <w:t>вимірювання</w:t>
      </w:r>
      <w:proofErr w:type="spellEnd"/>
      <w:r>
        <w:t xml:space="preserve">,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та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об'єму</w:t>
      </w:r>
      <w:proofErr w:type="spellEnd"/>
      <w:r>
        <w:t xml:space="preserve"> природного газу, </w:t>
      </w:r>
      <w:proofErr w:type="spellStart"/>
      <w:r>
        <w:t>зведеного</w:t>
      </w:r>
      <w:proofErr w:type="spellEnd"/>
      <w:r>
        <w:t xml:space="preserve"> до </w:t>
      </w:r>
      <w:proofErr w:type="spellStart"/>
      <w:r>
        <w:t>стандартних</w:t>
      </w:r>
      <w:proofErr w:type="spellEnd"/>
      <w:r>
        <w:t xml:space="preserve"> умов,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одного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вимірювальних</w:t>
      </w:r>
      <w:proofErr w:type="spellEnd"/>
      <w:r>
        <w:t xml:space="preserve"> </w:t>
      </w:r>
      <w:proofErr w:type="spellStart"/>
      <w:r>
        <w:t>комплексів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proofErr w:type="gramStart"/>
      <w:r>
        <w:t>л</w:t>
      </w:r>
      <w:proofErr w:type="gramEnd"/>
      <w:r>
        <w:t>ічильника</w:t>
      </w:r>
      <w:proofErr w:type="spellEnd"/>
      <w:r>
        <w:t xml:space="preserve"> газу в </w:t>
      </w:r>
      <w:proofErr w:type="spellStart"/>
      <w:r>
        <w:t>комплекті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реєструвальними</w:t>
      </w:r>
      <w:proofErr w:type="spellEnd"/>
      <w:r>
        <w:t xml:space="preserve"> </w:t>
      </w:r>
      <w:proofErr w:type="spellStart"/>
      <w:r>
        <w:t>приладами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газу;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proofErr w:type="gramStart"/>
      <w:r>
        <w:t>л</w:t>
      </w:r>
      <w:proofErr w:type="gramEnd"/>
      <w:r>
        <w:t>ічильника</w:t>
      </w:r>
      <w:proofErr w:type="spellEnd"/>
      <w:r>
        <w:t xml:space="preserve"> газу в </w:t>
      </w:r>
      <w:proofErr w:type="spellStart"/>
      <w:r>
        <w:t>комплекті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показувальними</w:t>
      </w:r>
      <w:proofErr w:type="spellEnd"/>
      <w:r>
        <w:t xml:space="preserve"> </w:t>
      </w:r>
      <w:proofErr w:type="spellStart"/>
      <w:r>
        <w:t>приладами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газу;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proofErr w:type="gramStart"/>
      <w:r>
        <w:t>л</w:t>
      </w:r>
      <w:proofErr w:type="gramEnd"/>
      <w:r>
        <w:t>ічильника</w:t>
      </w:r>
      <w:proofErr w:type="spellEnd"/>
      <w:r>
        <w:t xml:space="preserve"> газу,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</w:t>
      </w:r>
      <w:proofErr w:type="spellStart"/>
      <w:r>
        <w:t>нормативно-правовими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нормативно-технічними</w:t>
      </w:r>
      <w:proofErr w:type="spellEnd"/>
      <w:r>
        <w:t xml:space="preserve"> документами;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2) </w:t>
      </w:r>
      <w:proofErr w:type="spellStart"/>
      <w:r>
        <w:t>комерційний</w:t>
      </w:r>
      <w:proofErr w:type="spellEnd"/>
      <w:r>
        <w:t xml:space="preserve"> (</w:t>
      </w:r>
      <w:proofErr w:type="spellStart"/>
      <w:r>
        <w:t>приладовий</w:t>
      </w:r>
      <w:proofErr w:type="spellEnd"/>
      <w:r>
        <w:t xml:space="preserve">)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природного газу (</w:t>
      </w:r>
      <w:proofErr w:type="spellStart"/>
      <w:r>
        <w:t>далі</w:t>
      </w:r>
      <w:proofErr w:type="spellEnd"/>
      <w:r>
        <w:t xml:space="preserve"> - </w:t>
      </w:r>
      <w:proofErr w:type="spellStart"/>
      <w:r>
        <w:t>облік</w:t>
      </w:r>
      <w:proofErr w:type="spellEnd"/>
      <w:r>
        <w:t xml:space="preserve"> природного газу) - </w:t>
      </w:r>
      <w:proofErr w:type="spellStart"/>
      <w:r>
        <w:t>визначення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вузла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природного газу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природного газу,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взаєморозрахунки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споживачами</w:t>
      </w:r>
      <w:proofErr w:type="spellEnd"/>
      <w:r>
        <w:t xml:space="preserve"> природного газу та </w:t>
      </w:r>
      <w:proofErr w:type="spellStart"/>
      <w:r>
        <w:t>суб'єктами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природного газу;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3) </w:t>
      </w:r>
      <w:proofErr w:type="spellStart"/>
      <w:r>
        <w:t>лічильник</w:t>
      </w:r>
      <w:proofErr w:type="spellEnd"/>
      <w:r>
        <w:t xml:space="preserve"> газу - </w:t>
      </w:r>
      <w:proofErr w:type="spellStart"/>
      <w:r>
        <w:t>засіб</w:t>
      </w:r>
      <w:proofErr w:type="spellEnd"/>
      <w:r>
        <w:t xml:space="preserve"> </w:t>
      </w:r>
      <w:proofErr w:type="spellStart"/>
      <w:r>
        <w:t>вимірювальної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для </w:t>
      </w:r>
      <w:proofErr w:type="spellStart"/>
      <w:r>
        <w:t>вимірювання</w:t>
      </w:r>
      <w:proofErr w:type="spellEnd"/>
      <w:r>
        <w:t xml:space="preserve">, </w:t>
      </w:r>
      <w:proofErr w:type="spellStart"/>
      <w:r>
        <w:t>запам'ятовування</w:t>
      </w:r>
      <w:proofErr w:type="spellEnd"/>
      <w:r>
        <w:t xml:space="preserve"> та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об'єму</w:t>
      </w:r>
      <w:proofErr w:type="spellEnd"/>
      <w:r>
        <w:t xml:space="preserve"> газу, </w:t>
      </w:r>
      <w:proofErr w:type="spellStart"/>
      <w:r>
        <w:t>що</w:t>
      </w:r>
      <w:proofErr w:type="spellEnd"/>
      <w:r>
        <w:t xml:space="preserve"> проходить через </w:t>
      </w:r>
      <w:proofErr w:type="spellStart"/>
      <w:r>
        <w:t>нього</w:t>
      </w:r>
      <w:proofErr w:type="spellEnd"/>
      <w:r>
        <w:t>;</w:t>
      </w:r>
    </w:p>
    <w:p w:rsidR="00BC192C" w:rsidRDefault="00BC192C" w:rsidP="00BC192C">
      <w:pPr>
        <w:pStyle w:val="a3"/>
        <w:spacing w:after="0" w:afterAutospacing="0"/>
        <w:jc w:val="both"/>
      </w:pPr>
      <w:r>
        <w:lastRenderedPageBreak/>
        <w:t xml:space="preserve">4) </w:t>
      </w:r>
      <w:proofErr w:type="spellStart"/>
      <w:r>
        <w:t>споживачі</w:t>
      </w:r>
      <w:proofErr w:type="spellEnd"/>
      <w:r>
        <w:t xml:space="preserve"> природного газу - </w:t>
      </w:r>
      <w:proofErr w:type="spellStart"/>
      <w:r>
        <w:t>фізичні</w:t>
      </w:r>
      <w:proofErr w:type="spellEnd"/>
      <w:r>
        <w:t xml:space="preserve"> особи (</w:t>
      </w:r>
      <w:proofErr w:type="spellStart"/>
      <w:r>
        <w:t>населення</w:t>
      </w:r>
      <w:proofErr w:type="spellEnd"/>
      <w:r>
        <w:t xml:space="preserve">), </w:t>
      </w:r>
      <w:proofErr w:type="spellStart"/>
      <w:r>
        <w:t>фізичні</w:t>
      </w:r>
      <w:proofErr w:type="spellEnd"/>
      <w:r>
        <w:t xml:space="preserve"> особи - </w:t>
      </w:r>
      <w:proofErr w:type="spellStart"/>
      <w:proofErr w:type="gramStart"/>
      <w:r>
        <w:t>п</w:t>
      </w:r>
      <w:proofErr w:type="gramEnd"/>
      <w:r>
        <w:t>ідприємці</w:t>
      </w:r>
      <w:proofErr w:type="spellEnd"/>
      <w:r>
        <w:t xml:space="preserve"> та </w:t>
      </w:r>
      <w:proofErr w:type="spellStart"/>
      <w:r>
        <w:t>юридичні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договору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газопостачання</w:t>
      </w:r>
      <w:proofErr w:type="spellEnd"/>
      <w:r>
        <w:t xml:space="preserve"> та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газ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, </w:t>
      </w:r>
      <w:proofErr w:type="spellStart"/>
      <w:r>
        <w:t>опалення</w:t>
      </w:r>
      <w:proofErr w:type="spellEnd"/>
      <w:r>
        <w:t xml:space="preserve">, </w:t>
      </w:r>
      <w:proofErr w:type="spellStart"/>
      <w:r>
        <w:t>підігріву</w:t>
      </w:r>
      <w:proofErr w:type="spellEnd"/>
      <w:r>
        <w:t xml:space="preserve"> води, а </w:t>
      </w:r>
      <w:proofErr w:type="spellStart"/>
      <w:r>
        <w:t>також</w:t>
      </w:r>
      <w:proofErr w:type="spellEnd"/>
      <w:r>
        <w:t xml:space="preserve"> як </w:t>
      </w:r>
      <w:proofErr w:type="spellStart"/>
      <w:r>
        <w:t>паливо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сировину</w:t>
      </w:r>
      <w:proofErr w:type="spellEnd"/>
      <w:r>
        <w:t>.</w:t>
      </w:r>
    </w:p>
    <w:p w:rsidR="00BC192C" w:rsidRDefault="00BC192C" w:rsidP="00BC192C">
      <w:pPr>
        <w:pStyle w:val="3"/>
        <w:spacing w:after="0" w:afterAutospacing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Стаття</w:t>
      </w:r>
      <w:proofErr w:type="spellEnd"/>
      <w:r>
        <w:rPr>
          <w:rFonts w:eastAsia="Times New Roman"/>
        </w:rPr>
        <w:t xml:space="preserve"> 2. </w:t>
      </w:r>
      <w:proofErr w:type="spellStart"/>
      <w:r>
        <w:rPr>
          <w:rFonts w:eastAsia="Times New Roman"/>
        </w:rPr>
        <w:t>Організація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роботи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із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запровадження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комерційного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обл</w:t>
      </w:r>
      <w:proofErr w:type="gramEnd"/>
      <w:r>
        <w:rPr>
          <w:rFonts w:eastAsia="Times New Roman"/>
        </w:rPr>
        <w:t>іку</w:t>
      </w:r>
      <w:proofErr w:type="spellEnd"/>
      <w:r>
        <w:rPr>
          <w:rFonts w:eastAsia="Times New Roman"/>
        </w:rPr>
        <w:t xml:space="preserve"> природного газу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1. </w:t>
      </w:r>
      <w:proofErr w:type="spellStart"/>
      <w:r>
        <w:t>Постачання</w:t>
      </w:r>
      <w:proofErr w:type="spellEnd"/>
      <w:r>
        <w:t xml:space="preserve"> природного газу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1) для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квартирах та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будинках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газ </w:t>
      </w:r>
      <w:proofErr w:type="spellStart"/>
      <w:r>
        <w:t>використовується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комплексно, </w:t>
      </w:r>
      <w:proofErr w:type="gramStart"/>
      <w:r>
        <w:t>у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 xml:space="preserve"> для </w:t>
      </w:r>
      <w:proofErr w:type="spellStart"/>
      <w:r>
        <w:t>опалення</w:t>
      </w:r>
      <w:proofErr w:type="spellEnd"/>
      <w:r>
        <w:t xml:space="preserve">,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2012 року; 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для </w:t>
      </w:r>
      <w:proofErr w:type="spellStart"/>
      <w:proofErr w:type="gramStart"/>
      <w:r>
        <w:t>п</w:t>
      </w:r>
      <w:proofErr w:type="gramEnd"/>
      <w:r>
        <w:t>ідігріву</w:t>
      </w:r>
      <w:proofErr w:type="spellEnd"/>
      <w:r>
        <w:t xml:space="preserve"> води та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2016 року; 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тільки</w:t>
      </w:r>
      <w:proofErr w:type="spellEnd"/>
      <w:r>
        <w:t xml:space="preserve">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2018 року;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2) для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липня</w:t>
      </w:r>
      <w:proofErr w:type="spellEnd"/>
      <w:r>
        <w:t xml:space="preserve"> 2011 року.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2. </w:t>
      </w:r>
      <w:proofErr w:type="spellStart"/>
      <w:r>
        <w:t>Введення</w:t>
      </w:r>
      <w:proofErr w:type="spellEnd"/>
      <w:r>
        <w:t xml:space="preserve"> в </w:t>
      </w:r>
      <w:proofErr w:type="spellStart"/>
      <w:r>
        <w:t>експлуатацію</w:t>
      </w:r>
      <w:proofErr w:type="spellEnd"/>
      <w:r>
        <w:t xml:space="preserve"> </w:t>
      </w:r>
      <w:proofErr w:type="spellStart"/>
      <w:r>
        <w:t>новозбудованих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реконструйованих</w:t>
      </w:r>
      <w:proofErr w:type="spellEnd"/>
      <w:r>
        <w:t xml:space="preserve"> </w:t>
      </w:r>
      <w:proofErr w:type="spellStart"/>
      <w:r>
        <w:t>багатоквартирних</w:t>
      </w:r>
      <w:proofErr w:type="spellEnd"/>
      <w:r>
        <w:t xml:space="preserve"> </w:t>
      </w:r>
      <w:proofErr w:type="spellStart"/>
      <w:r>
        <w:t>жилих</w:t>
      </w:r>
      <w:proofErr w:type="spellEnd"/>
      <w:r>
        <w:t xml:space="preserve"> 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та </w:t>
      </w:r>
      <w:proofErr w:type="spellStart"/>
      <w:r>
        <w:t>невиробничого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(</w:t>
      </w:r>
      <w:proofErr w:type="spellStart"/>
      <w:r>
        <w:t>промисловість</w:t>
      </w:r>
      <w:proofErr w:type="spellEnd"/>
      <w:r>
        <w:t xml:space="preserve">, </w:t>
      </w:r>
      <w:proofErr w:type="spellStart"/>
      <w:r>
        <w:t>бюджетна</w:t>
      </w:r>
      <w:proofErr w:type="spellEnd"/>
      <w:r>
        <w:t xml:space="preserve"> сфера, сфера </w:t>
      </w:r>
      <w:proofErr w:type="spellStart"/>
      <w:proofErr w:type="gramStart"/>
      <w:r>
        <w:t>соц</w:t>
      </w:r>
      <w:proofErr w:type="gramEnd"/>
      <w:r>
        <w:t>іально-побутового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культурного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</w:t>
      </w:r>
      <w:proofErr w:type="spellStart"/>
      <w:r>
        <w:t>з</w:t>
      </w:r>
      <w:proofErr w:type="spellEnd"/>
      <w:r>
        <w:t xml:space="preserve"> системами </w:t>
      </w:r>
      <w:proofErr w:type="spellStart"/>
      <w:r>
        <w:t>газопостачання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вузлів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природного газу.</w:t>
      </w:r>
    </w:p>
    <w:p w:rsidR="00BC192C" w:rsidRDefault="00BC192C" w:rsidP="00BC192C">
      <w:pPr>
        <w:pStyle w:val="3"/>
        <w:spacing w:after="0" w:afterAutospacing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Стаття</w:t>
      </w:r>
      <w:proofErr w:type="spellEnd"/>
      <w:r>
        <w:rPr>
          <w:rFonts w:eastAsia="Times New Roman"/>
        </w:rPr>
        <w:t xml:space="preserve"> 3. </w:t>
      </w:r>
      <w:proofErr w:type="spellStart"/>
      <w:r>
        <w:rPr>
          <w:rFonts w:eastAsia="Times New Roman"/>
        </w:rPr>
        <w:t>Джерела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фінансування</w:t>
      </w:r>
      <w:proofErr w:type="spellEnd"/>
    </w:p>
    <w:p w:rsidR="00BC192C" w:rsidRDefault="00BC192C" w:rsidP="00BC192C">
      <w:pPr>
        <w:pStyle w:val="a3"/>
        <w:spacing w:after="0" w:afterAutospacing="0"/>
        <w:jc w:val="both"/>
      </w:pPr>
      <w:r>
        <w:t xml:space="preserve">1.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 </w:t>
      </w:r>
      <w:proofErr w:type="spellStart"/>
      <w:r>
        <w:t>лічильниками</w:t>
      </w:r>
      <w:proofErr w:type="spellEnd"/>
      <w:r>
        <w:t xml:space="preserve"> газу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коштів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gramStart"/>
      <w:r>
        <w:t>природного</w:t>
      </w:r>
      <w:proofErr w:type="gramEnd"/>
      <w:r>
        <w:t xml:space="preserve">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;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коштів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ідповідного</w:t>
      </w:r>
      <w:proofErr w:type="spellEnd"/>
      <w:r>
        <w:t xml:space="preserve"> бюджету;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інших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, не </w:t>
      </w:r>
      <w:proofErr w:type="spellStart"/>
      <w:r>
        <w:t>заборонених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2.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оснащення</w:t>
      </w:r>
      <w:proofErr w:type="spellEnd"/>
      <w:r>
        <w:t xml:space="preserve"> </w:t>
      </w:r>
      <w:proofErr w:type="spellStart"/>
      <w:r>
        <w:t>вузлами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природного газу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підприємців</w:t>
      </w:r>
      <w:proofErr w:type="spellEnd"/>
      <w:r>
        <w:t xml:space="preserve"> та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коштів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proofErr w:type="gramStart"/>
      <w:r>
        <w:t>п</w:t>
      </w:r>
      <w:proofErr w:type="gramEnd"/>
      <w:r>
        <w:t>ідприємців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договору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газопостачання</w:t>
      </w:r>
      <w:proofErr w:type="spellEnd"/>
      <w:r>
        <w:t xml:space="preserve"> для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;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коштів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договору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газопостачання</w:t>
      </w:r>
      <w:proofErr w:type="spellEnd"/>
      <w:r>
        <w:t>.</w:t>
      </w:r>
    </w:p>
    <w:p w:rsidR="00BC192C" w:rsidRDefault="00BC192C" w:rsidP="00BC192C">
      <w:pPr>
        <w:pStyle w:val="3"/>
        <w:spacing w:after="0" w:afterAutospacing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Стаття</w:t>
      </w:r>
      <w:proofErr w:type="spellEnd"/>
      <w:r>
        <w:rPr>
          <w:rFonts w:eastAsia="Times New Roman"/>
        </w:rPr>
        <w:t xml:space="preserve"> 4. </w:t>
      </w:r>
      <w:proofErr w:type="spellStart"/>
      <w:r>
        <w:rPr>
          <w:rFonts w:eastAsia="Times New Roman"/>
        </w:rPr>
        <w:t>Виконавці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робіт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із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встановлення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вузлів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обл</w:t>
      </w:r>
      <w:proofErr w:type="gramEnd"/>
      <w:r>
        <w:rPr>
          <w:rFonts w:eastAsia="Times New Roman"/>
        </w:rPr>
        <w:t>іку</w:t>
      </w:r>
      <w:proofErr w:type="spellEnd"/>
      <w:r>
        <w:rPr>
          <w:rFonts w:eastAsia="Times New Roman"/>
        </w:rPr>
        <w:t xml:space="preserve"> природного газу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1. </w:t>
      </w:r>
      <w:proofErr w:type="spellStart"/>
      <w:r>
        <w:t>Виконавцями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вузлів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природного газу </w:t>
      </w:r>
      <w:proofErr w:type="spellStart"/>
      <w:r>
        <w:t>є</w:t>
      </w:r>
      <w:proofErr w:type="spellEnd"/>
      <w:r>
        <w:t xml:space="preserve">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gramStart"/>
      <w:r>
        <w:t>природного</w:t>
      </w:r>
      <w:proofErr w:type="gramEnd"/>
      <w:r>
        <w:t xml:space="preserve">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;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lastRenderedPageBreak/>
        <w:t>отримали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дозволи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вузлів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природного газу.</w:t>
      </w:r>
    </w:p>
    <w:p w:rsidR="00BC192C" w:rsidRDefault="00BC192C" w:rsidP="00BC192C">
      <w:pPr>
        <w:pStyle w:val="3"/>
        <w:spacing w:after="0" w:afterAutospacing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Стаття</w:t>
      </w:r>
      <w:proofErr w:type="spellEnd"/>
      <w:r>
        <w:rPr>
          <w:rFonts w:eastAsia="Times New Roman"/>
        </w:rPr>
        <w:t xml:space="preserve"> 5. </w:t>
      </w:r>
      <w:proofErr w:type="spellStart"/>
      <w:r>
        <w:rPr>
          <w:rFonts w:eastAsia="Times New Roman"/>
        </w:rPr>
        <w:t>Відповідальність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споживачів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природного</w:t>
      </w:r>
      <w:proofErr w:type="gramEnd"/>
      <w:r>
        <w:rPr>
          <w:rFonts w:eastAsia="Times New Roman"/>
        </w:rPr>
        <w:t xml:space="preserve"> газу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1.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суб'єктами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gramStart"/>
      <w:r>
        <w:t>природного</w:t>
      </w:r>
      <w:proofErr w:type="gramEnd"/>
      <w:r>
        <w:t xml:space="preserve">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лічильників</w:t>
      </w:r>
      <w:proofErr w:type="spellEnd"/>
      <w:r>
        <w:t xml:space="preserve"> газу </w:t>
      </w:r>
      <w:proofErr w:type="spellStart"/>
      <w:r>
        <w:t>розподіл</w:t>
      </w:r>
      <w:proofErr w:type="spellEnd"/>
      <w:r>
        <w:t xml:space="preserve"> природного газу </w:t>
      </w:r>
      <w:proofErr w:type="spellStart"/>
      <w:r>
        <w:t>припиняється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у квартирах та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будинках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газ </w:t>
      </w:r>
      <w:proofErr w:type="spellStart"/>
      <w:r>
        <w:t>використовується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комплексно, </w:t>
      </w:r>
      <w:proofErr w:type="gramStart"/>
      <w:r>
        <w:t>у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 xml:space="preserve"> для </w:t>
      </w:r>
      <w:proofErr w:type="spellStart"/>
      <w:r>
        <w:t>опалення</w:t>
      </w:r>
      <w:proofErr w:type="spellEnd"/>
      <w:r>
        <w:t xml:space="preserve">,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2012 року; 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для </w:t>
      </w:r>
      <w:proofErr w:type="spellStart"/>
      <w:proofErr w:type="gramStart"/>
      <w:r>
        <w:t>п</w:t>
      </w:r>
      <w:proofErr w:type="gramEnd"/>
      <w:r>
        <w:t>ідігріву</w:t>
      </w:r>
      <w:proofErr w:type="spellEnd"/>
      <w:r>
        <w:t xml:space="preserve"> води та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2016 року; 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тільки</w:t>
      </w:r>
      <w:proofErr w:type="spellEnd"/>
      <w:r>
        <w:t xml:space="preserve">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2018 року.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2. </w:t>
      </w:r>
      <w:proofErr w:type="spellStart"/>
      <w:r>
        <w:t>Відмова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proofErr w:type="gramStart"/>
      <w:r>
        <w:t>п</w:t>
      </w:r>
      <w:proofErr w:type="gramEnd"/>
      <w:r>
        <w:t>ідприємців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газопостачання</w:t>
      </w:r>
      <w:proofErr w:type="spellEnd"/>
      <w:r>
        <w:t xml:space="preserve"> для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та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до 1 </w:t>
      </w:r>
      <w:proofErr w:type="spellStart"/>
      <w:r>
        <w:t>липня</w:t>
      </w:r>
      <w:proofErr w:type="spellEnd"/>
      <w:r>
        <w:t xml:space="preserve"> 2011 року </w:t>
      </w:r>
      <w:proofErr w:type="spellStart"/>
      <w:r>
        <w:t>вузлів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природного газу </w:t>
      </w:r>
      <w:proofErr w:type="spellStart"/>
      <w:r>
        <w:t>є</w:t>
      </w:r>
      <w:proofErr w:type="spellEnd"/>
      <w:r>
        <w:t xml:space="preserve">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природного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gramStart"/>
      <w:r>
        <w:t xml:space="preserve">для </w:t>
      </w:r>
      <w:proofErr w:type="spellStart"/>
      <w:r>
        <w:t>розірвання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</w:t>
      </w:r>
      <w:proofErr w:type="spellStart"/>
      <w:r>
        <w:t>договорів</w:t>
      </w:r>
      <w:proofErr w:type="spellEnd"/>
      <w:r>
        <w:t xml:space="preserve"> на </w:t>
      </w:r>
      <w:proofErr w:type="spellStart"/>
      <w:r>
        <w:t>розподіл</w:t>
      </w:r>
      <w:proofErr w:type="spellEnd"/>
      <w:r>
        <w:t xml:space="preserve"> природного газу.</w:t>
      </w:r>
      <w:proofErr w:type="gramEnd"/>
    </w:p>
    <w:p w:rsidR="00BC192C" w:rsidRDefault="00BC192C" w:rsidP="00BC192C">
      <w:pPr>
        <w:pStyle w:val="3"/>
        <w:spacing w:after="0" w:afterAutospacing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Стаття</w:t>
      </w:r>
      <w:proofErr w:type="spellEnd"/>
      <w:r>
        <w:rPr>
          <w:rFonts w:eastAsia="Times New Roman"/>
        </w:rPr>
        <w:t xml:space="preserve"> 6. </w:t>
      </w:r>
      <w:proofErr w:type="spellStart"/>
      <w:r>
        <w:rPr>
          <w:rFonts w:eastAsia="Times New Roman"/>
        </w:rPr>
        <w:t>Обов'язки</w:t>
      </w:r>
      <w:proofErr w:type="spellEnd"/>
      <w:r>
        <w:rPr>
          <w:rFonts w:eastAsia="Times New Roman"/>
        </w:rPr>
        <w:t xml:space="preserve"> та </w:t>
      </w:r>
      <w:proofErr w:type="spellStart"/>
      <w:r>
        <w:rPr>
          <w:rFonts w:eastAsia="Times New Roman"/>
        </w:rPr>
        <w:t>відповідальність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суб'єктів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господарювання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що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здійснюють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розподіл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природного</w:t>
      </w:r>
      <w:proofErr w:type="gramEnd"/>
      <w:r>
        <w:rPr>
          <w:rFonts w:eastAsia="Times New Roman"/>
        </w:rPr>
        <w:t xml:space="preserve"> газу на </w:t>
      </w:r>
      <w:proofErr w:type="spellStart"/>
      <w:r>
        <w:rPr>
          <w:rFonts w:eastAsia="Times New Roman"/>
        </w:rPr>
        <w:t>відповідній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території</w:t>
      </w:r>
      <w:proofErr w:type="spellEnd"/>
    </w:p>
    <w:p w:rsidR="00BC192C" w:rsidRDefault="00BC192C" w:rsidP="00BC192C">
      <w:pPr>
        <w:pStyle w:val="a3"/>
        <w:spacing w:after="0" w:afterAutospacing="0"/>
        <w:jc w:val="both"/>
      </w:pPr>
      <w:r>
        <w:t xml:space="preserve">1.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gramStart"/>
      <w:r>
        <w:t>природного</w:t>
      </w:r>
      <w:proofErr w:type="gramEnd"/>
      <w:r>
        <w:t xml:space="preserve">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зобов'язані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1)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лічильників</w:t>
      </w:r>
      <w:proofErr w:type="spellEnd"/>
      <w:r>
        <w:t xml:space="preserve"> газу: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а) для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квартирах та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будинках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газ </w:t>
      </w:r>
      <w:proofErr w:type="spellStart"/>
      <w:r>
        <w:t>використовується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комплексно, </w:t>
      </w:r>
      <w:proofErr w:type="gramStart"/>
      <w:r>
        <w:t>у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 xml:space="preserve"> для </w:t>
      </w:r>
      <w:proofErr w:type="spellStart"/>
      <w:r>
        <w:t>опалення</w:t>
      </w:r>
      <w:proofErr w:type="spellEnd"/>
      <w:r>
        <w:t xml:space="preserve">, - до 1 </w:t>
      </w:r>
      <w:proofErr w:type="spellStart"/>
      <w:r>
        <w:t>січня</w:t>
      </w:r>
      <w:proofErr w:type="spellEnd"/>
      <w:r>
        <w:t xml:space="preserve"> 2012 року; 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для </w:t>
      </w:r>
      <w:proofErr w:type="spellStart"/>
      <w:proofErr w:type="gramStart"/>
      <w:r>
        <w:t>п</w:t>
      </w:r>
      <w:proofErr w:type="gramEnd"/>
      <w:r>
        <w:t>ідігріву</w:t>
      </w:r>
      <w:proofErr w:type="spellEnd"/>
      <w:r>
        <w:t xml:space="preserve"> води та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до 1 </w:t>
      </w:r>
      <w:proofErr w:type="spellStart"/>
      <w:r>
        <w:t>січня</w:t>
      </w:r>
      <w:proofErr w:type="spellEnd"/>
      <w:r>
        <w:t xml:space="preserve"> 2016 року; 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тільки</w:t>
      </w:r>
      <w:proofErr w:type="spellEnd"/>
      <w:r>
        <w:t xml:space="preserve">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до 1 </w:t>
      </w:r>
      <w:proofErr w:type="spellStart"/>
      <w:r>
        <w:t>січня</w:t>
      </w:r>
      <w:proofErr w:type="spellEnd"/>
      <w:r>
        <w:t xml:space="preserve"> 2018 року.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невстановлення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 xml:space="preserve"> у строки, </w:t>
      </w:r>
      <w:proofErr w:type="spellStart"/>
      <w:r>
        <w:t>зазначені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ідпункті</w:t>
      </w:r>
      <w:proofErr w:type="spellEnd"/>
      <w:r>
        <w:t xml:space="preserve">, </w:t>
      </w:r>
      <w:proofErr w:type="spellStart"/>
      <w:r>
        <w:t>лічильників</w:t>
      </w:r>
      <w:proofErr w:type="spellEnd"/>
      <w:r>
        <w:t xml:space="preserve"> газу </w:t>
      </w:r>
      <w:proofErr w:type="spellStart"/>
      <w:r>
        <w:t>з</w:t>
      </w:r>
      <w:proofErr w:type="spellEnd"/>
      <w:r>
        <w:t xml:space="preserve"> вини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природного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природного газу таким </w:t>
      </w:r>
      <w:proofErr w:type="spellStart"/>
      <w:r>
        <w:t>споживачам</w:t>
      </w:r>
      <w:proofErr w:type="spellEnd"/>
      <w:r>
        <w:t xml:space="preserve"> </w:t>
      </w:r>
      <w:proofErr w:type="spellStart"/>
      <w:r>
        <w:t>забороняється</w:t>
      </w:r>
      <w:proofErr w:type="spellEnd"/>
      <w:r>
        <w:t xml:space="preserve">, 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до моменту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лічильників</w:t>
      </w:r>
      <w:proofErr w:type="spellEnd"/>
      <w:r>
        <w:t xml:space="preserve"> газу </w:t>
      </w:r>
      <w:proofErr w:type="spellStart"/>
      <w:r>
        <w:t>здійснюється</w:t>
      </w:r>
      <w:proofErr w:type="spellEnd"/>
      <w:r>
        <w:t xml:space="preserve"> за нормами </w:t>
      </w:r>
      <w:proofErr w:type="spellStart"/>
      <w:r>
        <w:t>споживання</w:t>
      </w:r>
      <w:proofErr w:type="spellEnd"/>
      <w:r>
        <w:t xml:space="preserve">, </w:t>
      </w:r>
      <w:proofErr w:type="spellStart"/>
      <w:r>
        <w:t>встановленими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б) для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споживачі</w:t>
      </w:r>
      <w:proofErr w:type="gramStart"/>
      <w:r>
        <w:t>в</w:t>
      </w:r>
      <w:proofErr w:type="spellEnd"/>
      <w:proofErr w:type="gramEnd"/>
      <w:r>
        <w:t xml:space="preserve"> - до 1 </w:t>
      </w:r>
      <w:proofErr w:type="spellStart"/>
      <w:r>
        <w:t>липня</w:t>
      </w:r>
      <w:proofErr w:type="spellEnd"/>
      <w:r>
        <w:t xml:space="preserve"> 2011 року;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2)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природного газу </w:t>
      </w:r>
      <w:proofErr w:type="spellStart"/>
      <w:r>
        <w:t>споживачам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газ без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таких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лічильників</w:t>
      </w:r>
      <w:proofErr w:type="spellEnd"/>
      <w:r>
        <w:t xml:space="preserve"> газу, а </w:t>
      </w:r>
      <w:proofErr w:type="spellStart"/>
      <w:r>
        <w:t>саме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lastRenderedPageBreak/>
        <w:t xml:space="preserve">а) для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квартирах та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будинках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газ </w:t>
      </w:r>
      <w:proofErr w:type="spellStart"/>
      <w:r>
        <w:t>використовується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комплексно, </w:t>
      </w:r>
      <w:proofErr w:type="gramStart"/>
      <w:r>
        <w:t>у</w:t>
      </w:r>
      <w:proofErr w:type="gramEnd"/>
      <w:r>
        <w:t xml:space="preserve"> тому </w:t>
      </w:r>
      <w:proofErr w:type="spellStart"/>
      <w:r>
        <w:t>числі</w:t>
      </w:r>
      <w:proofErr w:type="spellEnd"/>
      <w:r>
        <w:t xml:space="preserve"> для </w:t>
      </w:r>
      <w:proofErr w:type="spellStart"/>
      <w:r>
        <w:t>опалення</w:t>
      </w:r>
      <w:proofErr w:type="spellEnd"/>
      <w:r>
        <w:t xml:space="preserve">,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2012 року; 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для </w:t>
      </w:r>
      <w:proofErr w:type="spellStart"/>
      <w:proofErr w:type="gramStart"/>
      <w:r>
        <w:t>п</w:t>
      </w:r>
      <w:proofErr w:type="gramEnd"/>
      <w:r>
        <w:t>ідігріву</w:t>
      </w:r>
      <w:proofErr w:type="spellEnd"/>
      <w:r>
        <w:t xml:space="preserve"> води та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2016 року; 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тільки</w:t>
      </w:r>
      <w:proofErr w:type="spellEnd"/>
      <w:r>
        <w:t xml:space="preserve"> для </w:t>
      </w:r>
      <w:proofErr w:type="spellStart"/>
      <w:r>
        <w:t>приготування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2018 року;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б) для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липня</w:t>
      </w:r>
      <w:proofErr w:type="spellEnd"/>
      <w:r>
        <w:t xml:space="preserve"> 2011 року.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електроенергетики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застосовує</w:t>
      </w:r>
      <w:proofErr w:type="spellEnd"/>
      <w:r>
        <w:t xml:space="preserve"> до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</w:t>
      </w:r>
      <w:proofErr w:type="gramStart"/>
      <w:r>
        <w:t>природного</w:t>
      </w:r>
      <w:proofErr w:type="gramEnd"/>
      <w:r>
        <w:t xml:space="preserve">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санкції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невстановлення</w:t>
      </w:r>
      <w:proofErr w:type="spellEnd"/>
      <w:r>
        <w:t xml:space="preserve"> </w:t>
      </w:r>
      <w:proofErr w:type="spellStart"/>
      <w:r>
        <w:t>вузлів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 природного газу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неприпинення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природного газу </w:t>
      </w:r>
      <w:proofErr w:type="spellStart"/>
      <w:r>
        <w:t>споживачам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природний</w:t>
      </w:r>
      <w:proofErr w:type="spellEnd"/>
      <w:r>
        <w:t xml:space="preserve"> газ без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, - </w:t>
      </w:r>
      <w:proofErr w:type="spellStart"/>
      <w:r>
        <w:t>застереження</w:t>
      </w:r>
      <w:proofErr w:type="spellEnd"/>
      <w:r>
        <w:t>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невжиття</w:t>
      </w:r>
      <w:proofErr w:type="spellEnd"/>
      <w:r>
        <w:t xml:space="preserve"> </w:t>
      </w:r>
      <w:proofErr w:type="spellStart"/>
      <w:r>
        <w:t>суб'єктом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застосовано</w:t>
      </w:r>
      <w:proofErr w:type="spellEnd"/>
      <w:r>
        <w:t xml:space="preserve"> </w:t>
      </w:r>
      <w:proofErr w:type="spellStart"/>
      <w:r>
        <w:t>застереження</w:t>
      </w:r>
      <w:proofErr w:type="spellEnd"/>
      <w:r>
        <w:t xml:space="preserve">,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- штраф у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до 25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неоподатковуваних</w:t>
      </w:r>
      <w:proofErr w:type="spellEnd"/>
      <w:r>
        <w:t xml:space="preserve"> </w:t>
      </w:r>
      <w:proofErr w:type="spellStart"/>
      <w:r>
        <w:t>мінімумів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3.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електроенергетики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наявності</w:t>
      </w:r>
      <w:proofErr w:type="spellEnd"/>
      <w:r>
        <w:t xml:space="preserve"> в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розподіл</w:t>
      </w:r>
      <w:proofErr w:type="spellEnd"/>
      <w:r>
        <w:t xml:space="preserve"> природного газу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порушень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Законом, </w:t>
      </w:r>
      <w:proofErr w:type="spellStart"/>
      <w:r>
        <w:t>видає</w:t>
      </w:r>
      <w:proofErr w:type="spellEnd"/>
      <w:r>
        <w:t xml:space="preserve"> у межах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акта </w:t>
      </w:r>
      <w:proofErr w:type="spellStart"/>
      <w:r>
        <w:t>перевірки</w:t>
      </w:r>
      <w:proofErr w:type="spellEnd"/>
      <w:r>
        <w:t xml:space="preserve">, </w:t>
      </w:r>
      <w:proofErr w:type="spellStart"/>
      <w:r>
        <w:t>оформленого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порядку, постанови про </w:t>
      </w:r>
      <w:proofErr w:type="spellStart"/>
      <w:r>
        <w:t>накладення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 за </w:t>
      </w:r>
      <w:proofErr w:type="spellStart"/>
      <w:r>
        <w:t>встановленою</w:t>
      </w:r>
      <w:proofErr w:type="spellEnd"/>
      <w:r>
        <w:t xml:space="preserve"> формою.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proofErr w:type="gramStart"/>
      <w:r>
        <w:t>Оскарження</w:t>
      </w:r>
      <w:proofErr w:type="spellEnd"/>
      <w:r>
        <w:t xml:space="preserve"> постанов про </w:t>
      </w:r>
      <w:proofErr w:type="spellStart"/>
      <w:r>
        <w:t>накладення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 </w:t>
      </w:r>
      <w:proofErr w:type="spellStart"/>
      <w:r>
        <w:t>провадиться</w:t>
      </w:r>
      <w:proofErr w:type="spellEnd"/>
      <w:r>
        <w:t xml:space="preserve"> у судовому порядку.</w:t>
      </w:r>
      <w:proofErr w:type="gramEnd"/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Суми</w:t>
      </w:r>
      <w:proofErr w:type="spellEnd"/>
      <w:r>
        <w:t xml:space="preserve"> </w:t>
      </w:r>
      <w:proofErr w:type="spellStart"/>
      <w:r>
        <w:t>стягнених</w:t>
      </w:r>
      <w:proofErr w:type="spellEnd"/>
      <w:r>
        <w:t xml:space="preserve"> </w:t>
      </w:r>
      <w:proofErr w:type="spellStart"/>
      <w:r>
        <w:t>штрафів</w:t>
      </w:r>
      <w:proofErr w:type="spellEnd"/>
      <w:r>
        <w:t xml:space="preserve"> </w:t>
      </w:r>
      <w:proofErr w:type="spellStart"/>
      <w:r>
        <w:t>зараховуються</w:t>
      </w:r>
      <w:proofErr w:type="spellEnd"/>
      <w:r>
        <w:t xml:space="preserve"> до </w:t>
      </w:r>
      <w:proofErr w:type="gramStart"/>
      <w:r>
        <w:t>Державного</w:t>
      </w:r>
      <w:proofErr w:type="gramEnd"/>
      <w:r>
        <w:t xml:space="preserve"> бюджету </w:t>
      </w:r>
      <w:proofErr w:type="spellStart"/>
      <w:r>
        <w:t>України</w:t>
      </w:r>
      <w:proofErr w:type="spellEnd"/>
      <w:r>
        <w:t>.</w:t>
      </w:r>
    </w:p>
    <w:p w:rsidR="00BC192C" w:rsidRDefault="00BC192C" w:rsidP="00BC192C">
      <w:pPr>
        <w:pStyle w:val="3"/>
        <w:spacing w:after="0" w:afterAutospacing="0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Стаття</w:t>
      </w:r>
      <w:proofErr w:type="spellEnd"/>
      <w:r>
        <w:rPr>
          <w:rFonts w:eastAsia="Times New Roman"/>
        </w:rPr>
        <w:t xml:space="preserve"> 7. </w:t>
      </w:r>
      <w:proofErr w:type="spellStart"/>
      <w:r>
        <w:rPr>
          <w:rFonts w:eastAsia="Times New Roman"/>
        </w:rPr>
        <w:t>Прикінцеві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положення</w:t>
      </w:r>
      <w:proofErr w:type="spellEnd"/>
    </w:p>
    <w:p w:rsidR="00BC192C" w:rsidRDefault="00BC192C" w:rsidP="00BC192C">
      <w:pPr>
        <w:pStyle w:val="a3"/>
        <w:spacing w:after="0" w:afterAutospacing="0"/>
        <w:jc w:val="both"/>
      </w:pPr>
      <w:r>
        <w:t xml:space="preserve">1. Цей Закон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опублікування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абзацу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3,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2012 року.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2. Пункт 2 </w:t>
      </w:r>
      <w:proofErr w:type="spellStart"/>
      <w:r>
        <w:t>статті</w:t>
      </w:r>
      <w:proofErr w:type="spellEnd"/>
      <w:r>
        <w:t xml:space="preserve"> 7 </w:t>
      </w:r>
      <w:proofErr w:type="spellStart"/>
      <w:r>
        <w:t>втратив</w:t>
      </w:r>
      <w:proofErr w:type="spellEnd"/>
      <w:r>
        <w:t xml:space="preserve"> </w:t>
      </w:r>
      <w:proofErr w:type="spellStart"/>
      <w:r>
        <w:t>чинність</w:t>
      </w:r>
      <w:proofErr w:type="spellEnd"/>
    </w:p>
    <w:tbl>
      <w:tblPr>
        <w:tblpPr w:leftFromText="45" w:rightFromText="45" w:vertAnchor="text" w:tblpXSpec="right" w:tblpYSpec="center"/>
        <w:tblW w:w="3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702"/>
      </w:tblGrid>
      <w:tr w:rsidR="00BC192C" w:rsidTr="008118AC">
        <w:trPr>
          <w:tblCellSpacing w:w="22" w:type="dxa"/>
        </w:trPr>
        <w:tc>
          <w:tcPr>
            <w:tcW w:w="0" w:type="auto"/>
            <w:hideMark/>
          </w:tcPr>
          <w:p w:rsidR="00BC192C" w:rsidRDefault="00BC192C" w:rsidP="00BC192C">
            <w:pPr>
              <w:pStyle w:val="a3"/>
              <w:spacing w:after="0" w:afterAutospacing="0"/>
              <w:jc w:val="both"/>
            </w:pPr>
            <w:r>
              <w:t xml:space="preserve">(у </w:t>
            </w:r>
            <w:proofErr w:type="spellStart"/>
            <w:r>
              <w:t>зв'язку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втратою</w:t>
            </w:r>
            <w:proofErr w:type="spellEnd"/>
            <w:r>
              <w:t xml:space="preserve"> </w:t>
            </w:r>
            <w:proofErr w:type="spellStart"/>
            <w:r>
              <w:t>чинності</w:t>
            </w:r>
            <w:proofErr w:type="spellEnd"/>
            <w:r>
              <w:t xml:space="preserve"> </w:t>
            </w:r>
            <w:r>
              <w:rPr>
                <w:color w:val="0000FF"/>
              </w:rPr>
              <w:t xml:space="preserve">Законом </w:t>
            </w:r>
            <w:proofErr w:type="spellStart"/>
            <w:r>
              <w:rPr>
                <w:color w:val="0000FF"/>
              </w:rPr>
              <w:t>України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від</w:t>
            </w:r>
            <w:proofErr w:type="spellEnd"/>
            <w:r>
              <w:rPr>
                <w:color w:val="0000FF"/>
              </w:rPr>
              <w:t xml:space="preserve"> 08.07.2010 р. N 2467-VI</w:t>
            </w:r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09.04.2015 р. N 329-VIII)</w:t>
            </w:r>
          </w:p>
        </w:tc>
      </w:tr>
    </w:tbl>
    <w:p w:rsidR="00BC192C" w:rsidRDefault="00BC192C" w:rsidP="00BC192C">
      <w:pPr>
        <w:pStyle w:val="a3"/>
        <w:spacing w:after="0" w:afterAutospacing="0"/>
        <w:jc w:val="both"/>
      </w:pPr>
      <w:r>
        <w:br w:type="textWrapping" w:clear="all"/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3.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1) у </w:t>
      </w:r>
      <w:proofErr w:type="spellStart"/>
      <w:r>
        <w:t>двомісячний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та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Закону;</w:t>
      </w:r>
    </w:p>
    <w:p w:rsidR="00BC192C" w:rsidRDefault="00BC192C" w:rsidP="00BC192C">
      <w:pPr>
        <w:pStyle w:val="a3"/>
        <w:spacing w:after="0" w:afterAutospacing="0"/>
        <w:jc w:val="both"/>
      </w:pPr>
      <w:r>
        <w:t xml:space="preserve">2) у </w:t>
      </w:r>
      <w:proofErr w:type="spellStart"/>
      <w:r>
        <w:t>тримісячний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>:</w:t>
      </w:r>
    </w:p>
    <w:p w:rsidR="00BC192C" w:rsidRDefault="00BC192C" w:rsidP="00BC192C">
      <w:pPr>
        <w:pStyle w:val="a3"/>
        <w:spacing w:after="0" w:afterAutospacing="0"/>
        <w:jc w:val="both"/>
      </w:pPr>
      <w:r>
        <w:lastRenderedPageBreak/>
        <w:t xml:space="preserve">привести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нормативно-правові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Законом;</w:t>
      </w:r>
    </w:p>
    <w:p w:rsidR="00BC192C" w:rsidRDefault="00BC192C" w:rsidP="00BC192C">
      <w:pPr>
        <w:pStyle w:val="a3"/>
        <w:spacing w:after="0" w:afterAutospacing="0"/>
        <w:jc w:val="both"/>
      </w:pPr>
      <w:proofErr w:type="spellStart"/>
      <w:r>
        <w:t>забезпечити</w:t>
      </w:r>
      <w:proofErr w:type="spellEnd"/>
      <w:r>
        <w:t xml:space="preserve"> перегляд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міністерствами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центральними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органами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нормативно-правових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суперечать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Закону.</w:t>
      </w:r>
    </w:p>
    <w:p w:rsidR="00BC192C" w:rsidRDefault="00BC192C" w:rsidP="00BC192C">
      <w:pPr>
        <w:pStyle w:val="a3"/>
        <w:spacing w:after="0" w:afterAutospacing="0"/>
        <w:jc w:val="both"/>
      </w:pPr>
      <w:r>
        <w:t> 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BC192C" w:rsidTr="008118AC">
        <w:trPr>
          <w:tblCellSpacing w:w="22" w:type="dxa"/>
        </w:trPr>
        <w:tc>
          <w:tcPr>
            <w:tcW w:w="2500" w:type="pct"/>
            <w:hideMark/>
          </w:tcPr>
          <w:p w:rsidR="00BC192C" w:rsidRDefault="00BC192C" w:rsidP="00BC192C">
            <w:pPr>
              <w:pStyle w:val="a3"/>
              <w:spacing w:after="0" w:afterAutospacing="0"/>
              <w:jc w:val="center"/>
            </w:pPr>
            <w:r>
              <w:rPr>
                <w:b/>
                <w:bCs/>
              </w:rPr>
              <w:t xml:space="preserve">Президент </w:t>
            </w:r>
            <w:proofErr w:type="spellStart"/>
            <w:r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hideMark/>
          </w:tcPr>
          <w:p w:rsidR="00BC192C" w:rsidRDefault="00BC192C" w:rsidP="00BC192C">
            <w:pPr>
              <w:pStyle w:val="a3"/>
              <w:spacing w:after="0" w:afterAutospacing="0"/>
              <w:jc w:val="center"/>
            </w:pPr>
            <w:r>
              <w:rPr>
                <w:b/>
                <w:bCs/>
              </w:rPr>
              <w:t>В. ЯНУКОВИЧ</w:t>
            </w:r>
          </w:p>
        </w:tc>
      </w:tr>
      <w:tr w:rsidR="00BC192C" w:rsidTr="008118AC">
        <w:trPr>
          <w:tblCellSpacing w:w="22" w:type="dxa"/>
        </w:trPr>
        <w:tc>
          <w:tcPr>
            <w:tcW w:w="2500" w:type="pct"/>
            <w:hideMark/>
          </w:tcPr>
          <w:p w:rsidR="00BC192C" w:rsidRDefault="00BC192C" w:rsidP="00BC192C">
            <w:pPr>
              <w:pStyle w:val="a3"/>
              <w:spacing w:after="0" w:afterAutospacing="0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16 </w:t>
            </w:r>
            <w:proofErr w:type="spellStart"/>
            <w:r>
              <w:rPr>
                <w:b/>
                <w:bCs/>
              </w:rPr>
              <w:t>червня</w:t>
            </w:r>
            <w:proofErr w:type="spellEnd"/>
            <w:r>
              <w:rPr>
                <w:b/>
                <w:bCs/>
              </w:rPr>
              <w:t xml:space="preserve"> 2011 року</w:t>
            </w:r>
            <w:r>
              <w:br/>
            </w:r>
            <w:r>
              <w:rPr>
                <w:b/>
                <w:bCs/>
              </w:rPr>
              <w:t>N 3533-VI</w:t>
            </w:r>
          </w:p>
        </w:tc>
        <w:tc>
          <w:tcPr>
            <w:tcW w:w="2500" w:type="pct"/>
            <w:hideMark/>
          </w:tcPr>
          <w:p w:rsidR="00BC192C" w:rsidRDefault="00BC192C" w:rsidP="00BC192C">
            <w:pPr>
              <w:pStyle w:val="a3"/>
              <w:spacing w:after="0" w:afterAutospacing="0"/>
              <w:jc w:val="center"/>
            </w:pPr>
            <w:r>
              <w:t> </w:t>
            </w:r>
          </w:p>
        </w:tc>
      </w:tr>
    </w:tbl>
    <w:p w:rsidR="00BC192C" w:rsidRDefault="00BC192C" w:rsidP="00BC192C">
      <w:pPr>
        <w:pStyle w:val="a3"/>
        <w:spacing w:after="0" w:afterAutospacing="0"/>
        <w:jc w:val="both"/>
      </w:pPr>
      <w:r>
        <w:br w:type="textWrapping" w:clear="all"/>
      </w:r>
    </w:p>
    <w:p w:rsidR="00BC192C" w:rsidRDefault="00BC192C" w:rsidP="00BC192C">
      <w:pPr>
        <w:pStyle w:val="a3"/>
        <w:spacing w:after="0" w:afterAutospacing="0"/>
        <w:jc w:val="both"/>
      </w:pPr>
      <w:r>
        <w:t> 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0"/>
        <w:gridCol w:w="1215"/>
      </w:tblGrid>
      <w:tr w:rsidR="00BC192C" w:rsidTr="008118AC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BC192C" w:rsidRDefault="00BC192C" w:rsidP="00BC192C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© </w:t>
            </w:r>
            <w:proofErr w:type="gramStart"/>
            <w:r>
              <w:rPr>
                <w:rFonts w:eastAsia="Times New Roman"/>
              </w:rPr>
              <w:t>ТОВ</w:t>
            </w:r>
            <w:proofErr w:type="gram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Інформаційно-аналітичний</w:t>
            </w:r>
            <w:proofErr w:type="spellEnd"/>
            <w:r>
              <w:rPr>
                <w:rFonts w:eastAsia="Times New Roman"/>
              </w:rPr>
              <w:t xml:space="preserve"> центр "ЛІГА", 2016</w:t>
            </w:r>
            <w:r>
              <w:rPr>
                <w:rFonts w:eastAsia="Times New Roman"/>
              </w:rPr>
              <w:br/>
              <w:t>© ТОВ "ЛІГА ЗАКОН", 2016</w:t>
            </w:r>
          </w:p>
        </w:tc>
        <w:tc>
          <w:tcPr>
            <w:tcW w:w="500" w:type="pct"/>
            <w:vAlign w:val="center"/>
            <w:hideMark/>
          </w:tcPr>
          <w:p w:rsidR="00BC192C" w:rsidRDefault="00BC192C" w:rsidP="00BC192C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95325" cy="314325"/>
                  <wp:effectExtent l="19050" t="0" r="9525" b="0"/>
                  <wp:docPr id="2" name="Рисунок 2" descr="C:\Users\masha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sha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192C" w:rsidRDefault="00BC192C" w:rsidP="00BC192C">
      <w:pPr>
        <w:spacing w:after="0"/>
        <w:rPr>
          <w:rFonts w:eastAsia="Times New Roman"/>
        </w:rPr>
      </w:pPr>
    </w:p>
    <w:p w:rsidR="004C3F88" w:rsidRDefault="004C3F88" w:rsidP="00BC192C">
      <w:pPr>
        <w:spacing w:after="0"/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92C"/>
    <w:rsid w:val="004C3F88"/>
    <w:rsid w:val="00BC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192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C192C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92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C192C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C19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masha\AppData\Roaming\Liga70\Client\Session\LOGOTYPE.BMP" TargetMode="External"/><Relationship Id="rId4" Type="http://schemas.openxmlformats.org/officeDocument/2006/relationships/image" Target="file:///C:\Users\masha\AppData\Roaming\Liga70\Client\Session\TSIGN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</cp:revision>
  <dcterms:created xsi:type="dcterms:W3CDTF">2016-04-25T04:58:00Z</dcterms:created>
  <dcterms:modified xsi:type="dcterms:W3CDTF">2016-04-25T04:58:00Z</dcterms:modified>
</cp:coreProperties>
</file>